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4757"/>
        <w:gridCol w:w="4457"/>
      </w:tblGrid>
      <w:tr w:rsidR="00801EF5" w:rsidRPr="00801EF5" w:rsidTr="00801EF5">
        <w:trPr>
          <w:trHeight w:val="255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szCs w:val="21"/>
                <w:lang w:eastAsia="ru-RU"/>
              </w:rPr>
              <w:t>В сфере оказания услуг по передаче</w:t>
            </w: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szCs w:val="21"/>
                <w:lang w:eastAsia="ru-RU"/>
              </w:rPr>
              <w:br/>
              <w:t>электрической энергии.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szCs w:val="21"/>
                <w:lang w:eastAsia="ru-RU"/>
              </w:rPr>
              <w:t>Форма раскрытия информации субъектами оптового</w:t>
            </w: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szCs w:val="21"/>
                <w:lang w:eastAsia="ru-RU"/>
              </w:rPr>
              <w:br/>
              <w:t xml:space="preserve">и розничных рынков электрической энергии за 2013 год. 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ООО «Профит»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Советский район, 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 Нижний Новгород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603104 г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.Н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ижний Новгород ул.Нартова д.6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603104 г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.Н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ижний Новгород ул.Нартова д.6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Удалов Б.В.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ФИО главного бухгалтера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Удалов Б.В.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 xml:space="preserve">ФИО </w:t>
            </w:r>
            <w:proofErr w:type="gramStart"/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ответственного</w:t>
            </w:r>
            <w:proofErr w:type="gramEnd"/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 xml:space="preserve"> за заполнение формы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Морозова А.В.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Контактные телефоны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278 63 08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5262287335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526201001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1135262002523</w:t>
            </w: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01EF5" w:rsidRPr="00801EF5" w:rsidTr="00801EF5">
        <w:trPr>
          <w:trHeight w:val="255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I. Общие положения</w:t>
            </w:r>
          </w:p>
        </w:tc>
      </w:tr>
      <w:tr w:rsidR="00801EF5" w:rsidRPr="00801EF5" w:rsidTr="00801EF5">
        <w:trPr>
          <w:trHeight w:val="12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годовая финансовая (бухгалтерская) отчетность, в также аудиторское заключение (в случае, когда в соответствии с законодательством Российской Федерации в отношении субъекта рынка электрической энергии осуществлялась аудиторская проверка), если иное не установлено законодательством Российской Федерации;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 подлежит раскрытию в средствах массовой информации.</w:t>
            </w:r>
          </w:p>
        </w:tc>
      </w:tr>
      <w:tr w:rsidR="00801EF5" w:rsidRPr="00801EF5" w:rsidTr="00801EF5">
        <w:trPr>
          <w:trHeight w:val="1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показатели эффективности использования капитала —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энергии: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2013 году отсутствовали.</w:t>
            </w:r>
          </w:p>
        </w:tc>
      </w:tr>
      <w:tr w:rsidR="00801EF5" w:rsidRPr="00801EF5" w:rsidTr="00801EF5">
        <w:trPr>
          <w:trHeight w:val="1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уровень доходности инвестированного капитала, установленных федеральным органом исполнительной власти по регулированию естественных монополий, с указанием 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источника опубликования методики определения уровня доходности инвестированного капитала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01EF5" w:rsidRPr="00801EF5" w:rsidTr="00801EF5">
        <w:trPr>
          <w:trHeight w:val="20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фактический уровень доходности инвестированного капитала, использованного при осуществлении регулируемой деятельности, и обоснование  причин его отклонения от уровня доходности инвестированного капитала, установленного федеральным органом исполнительной власти по регулированию естественных монополий;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01EF5" w:rsidRPr="00801EF5" w:rsidTr="00801EF5">
        <w:trPr>
          <w:trHeight w:val="1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отчет о движении активов, учитываемых при установлении федеральным органом исполнительной власти по регулированию естественных монополий уровня доходности инвестированного капитала, включающий (по остаточной стоимости):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 подлежит раскрытию в средствах массовой информации.</w:t>
            </w:r>
          </w:p>
        </w:tc>
      </w:tr>
      <w:tr w:rsidR="00801EF5" w:rsidRPr="00801EF5" w:rsidTr="00801EF5">
        <w:trPr>
          <w:trHeight w:val="2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балансовую стоимость активов на начало года;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01EF5" w:rsidRPr="00801EF5" w:rsidTr="00801EF5">
        <w:trPr>
          <w:trHeight w:val="2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балансовую стоимость активов на конец года;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01EF5" w:rsidRPr="00801EF5" w:rsidTr="00801EF5">
        <w:trPr>
          <w:trHeight w:val="2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выбытии активов в течение года;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01EF5" w:rsidRPr="00801EF5" w:rsidTr="00801EF5">
        <w:trPr>
          <w:trHeight w:val="10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вводе активов в течение года, в том числе за счет переоценки, модернизации, реконструкции, строительства и приобретения нового оборудования.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801EF5" w:rsidRPr="00801EF5" w:rsidTr="00801EF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b/>
                <w:bCs/>
                <w:color w:val="757575"/>
                <w:sz w:val="21"/>
                <w:lang w:eastAsia="ru-RU"/>
              </w:rPr>
              <w:t>II. Стандарт раскрытия информации организацией по управлению</w:t>
            </w:r>
          </w:p>
        </w:tc>
      </w:tr>
      <w:tr w:rsidR="00801EF5" w:rsidRPr="00801EF5" w:rsidTr="00801EF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единой национальной (общероссийской) электрической сетью и 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территориальными</w:t>
            </w:r>
            <w:proofErr w:type="gramEnd"/>
          </w:p>
        </w:tc>
      </w:tr>
      <w:tr w:rsidR="00801EF5" w:rsidRPr="00801EF5" w:rsidTr="00801EF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сетевыми организациями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ед. Постановления Правительства РФ от 21.04.09г. №334)</w:t>
            </w:r>
          </w:p>
        </w:tc>
      </w:tr>
      <w:tr w:rsidR="00801EF5" w:rsidRPr="00801EF5" w:rsidTr="00801EF5">
        <w:trPr>
          <w:trHeight w:val="1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Условия договоров об оказании услуг по передаче электрической энергии и типовые договоры об осуществлении технологического присоединения с указанием источника официального </w:t>
            </w: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опубликования нормативного правового акта, регулирующего условия этих договоров.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Договор № 68-юр оказания услуг по передаче электрической энергии (мощности), межд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 ООО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ПКП «Энергетика» и Филиалом «</w:t>
            </w:r>
            <w:proofErr w:type="spell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Нижновэнерго</w:t>
            </w:r>
            <w:proofErr w:type="spell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» ОАО «МРСК Центра и </w:t>
            </w: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Приволжья»</w:t>
            </w:r>
          </w:p>
        </w:tc>
      </w:tr>
      <w:tr w:rsidR="00801EF5" w:rsidRPr="00801EF5" w:rsidTr="00801EF5">
        <w:trPr>
          <w:trHeight w:val="1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б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тарифах на услуги по передаче электрической энергии и технологическому присоединению с указанием источника официального опубликования решения регулирующего органа об установлении тарифов.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Тариф на услуги по передаче </w:t>
            </w:r>
            <w:proofErr w:type="spell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.э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нергии</w:t>
            </w:r>
            <w:proofErr w:type="spell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в 2013 году: Ставка на содержание </w:t>
            </w:r>
            <w:proofErr w:type="spell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.с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етей</w:t>
            </w:r>
            <w:proofErr w:type="spell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: с 1 января по 30 июня 2013 года включительно 676,27 </w:t>
            </w:r>
            <w:proofErr w:type="spell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</w:t>
            </w:r>
            <w:proofErr w:type="spell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/МВт в месяц. С 1 июля по 31 декабря 2013 года включительно 703,67 </w:t>
            </w:r>
            <w:proofErr w:type="spell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</w:t>
            </w:r>
            <w:proofErr w:type="spell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/МВт в месяц.</w:t>
            </w:r>
          </w:p>
        </w:tc>
      </w:tr>
      <w:tr w:rsidR="00801EF5" w:rsidRPr="00801EF5" w:rsidTr="00801EF5">
        <w:trPr>
          <w:trHeight w:val="66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Сведения о размерах потерь, возникающих в электрических сетях сетевой организации, включая: размеры потерь в сетях, в том числе уровень нормативных потерь и отклонения от них в целом по сетевой организации и по регионам обслуживания с учетом номинальных классов и уровней 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напряжения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с выделением размера оплачиваемых сетевой организацией потерь и размера потерь, оплачиваемых покупателями при осуществлении расчетов за электрическую энергию на 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оптовом рынке, а также процентное соотношение размера потерь в сетях и количества переданной электрической энергии за год с указанием источника опубликования решения об установлении уровня нормативных потерь; перечень мероприятий по снижению размеров потерь в сетях, а также сроки их исполнения и источники финансирования, источник опубликования методических указаний по определению нормативов потерь в сетях, утверждаемых уполномоченным федеральным органом исполнительной власти;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информацию о порядке закупки сетевыми организациями электрической энергии для компенсации потерь в сетях и ее стоимости.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Утверждённый норматив технологических потерь электроэнергии при её передаче по электрическим сетям на 2013 год 6,02% от отпуска электроэнергии в сеть. 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Согласно приказа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Минэнерго России №421 от 04.09.2012г.</w:t>
            </w:r>
          </w:p>
        </w:tc>
      </w:tr>
      <w:tr w:rsidR="00801EF5" w:rsidRPr="00801EF5" w:rsidTr="00801EF5">
        <w:trPr>
          <w:trHeight w:val="7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Перечень зон деятельности сетевой организации с детализацией по населенным пунктам и районам городов.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</w:t>
            </w: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.Н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ижний Новгород, Советский район, ул.Нартова, д.6</w:t>
            </w:r>
          </w:p>
        </w:tc>
      </w:tr>
      <w:tr w:rsidR="00801EF5" w:rsidRPr="00801EF5" w:rsidTr="00801EF5">
        <w:trPr>
          <w:trHeight w:val="20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д</w:t>
            </w:r>
            <w:proofErr w:type="spellEnd"/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техническом состоянии сетей, в том числе: количество аварийных ограничений (отключений) за квартал и год по границам территориальных зон деятельности организации с указанием причин аварий и мероприятий по их устранению; объем недопоставленной в результате аварийных ограничений (отключений) электрической энергии.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Пропускная способность ООО «Профит» 16,18 МВА. Резерв мощности для присоединения новых потребителей: ТП-6 — 1МВА, ТП-7 — 1МВА.</w:t>
            </w:r>
          </w:p>
        </w:tc>
      </w:tr>
      <w:tr w:rsidR="00801EF5" w:rsidRPr="00801EF5" w:rsidTr="00801EF5">
        <w:trPr>
          <w:trHeight w:val="38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об общей пропускной способности каждого участка электрической сети (в местах подстанций, трансформаторов и распределительных устройств) с указанием: текущего резерва мощности для присоединения потребителей (в абсолютных показателях) с учетом присоединенных потребителей и отдельно с учетом заключенных договоров на технологическое присоединение; планируемого резерва мощности на конец года с учетом присоединенных потребителей, заключенных договоров на технологическое присоединение, поданных заявок на технологическое присоединение и реализации планов капитальных вложений (инвестиционных программ).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2013 году отсутствовали.</w:t>
            </w:r>
          </w:p>
        </w:tc>
      </w:tr>
      <w:tr w:rsidR="00801EF5" w:rsidRPr="00801EF5" w:rsidTr="00801EF5">
        <w:trPr>
          <w:trHeight w:val="22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 и увеличения резерва для присоединения потребителей отдельно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2013 году отсутствовали.</w:t>
            </w:r>
          </w:p>
        </w:tc>
      </w:tr>
      <w:tr w:rsidR="00801EF5" w:rsidRPr="00801EF5" w:rsidTr="00801EF5">
        <w:trPr>
          <w:trHeight w:val="28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з</w:t>
            </w:r>
            <w:proofErr w:type="spellEnd"/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Планы капитальных вложений и планы капитального ремонта (инвестиционные программы), касающиеся </w:t>
            </w:r>
            <w:proofErr w:type="spell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реконструкциии</w:t>
            </w:r>
            <w:proofErr w:type="spell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и развития электрических сетей, согласованные в порядке, установленном Правительством Российской Федерации, с указанием даты расширения пропускной способности и увеличения резерва для присоединения потребителей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2013 году отсутствовали.</w:t>
            </w:r>
          </w:p>
        </w:tc>
      </w:tr>
      <w:tr w:rsidR="00801EF5" w:rsidRPr="00801EF5" w:rsidTr="00801EF5">
        <w:trPr>
          <w:trHeight w:val="17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Годовые графики капитального ремонта </w:t>
            </w:r>
            <w:proofErr w:type="spell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электросетевых</w:t>
            </w:r>
            <w:proofErr w:type="spell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объектов, согласованные с системным оператором (его территориальными управлениями), а также сведения о планируемых ограничениях мощности по основным сечениям электрической сети в связи с ремонтными работами.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Ограничения мощности в связи с ремонтными работами не планируются.</w:t>
            </w:r>
          </w:p>
        </w:tc>
      </w:tr>
      <w:tr w:rsidR="00801EF5" w:rsidRPr="00801EF5" w:rsidTr="00801EF5">
        <w:trPr>
          <w:trHeight w:val="3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gramStart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поданных заявках на технологическое присоединение и заключенных договорах на технологическое присоединение по каждому участку электрической сети (в местах подстанций, трансформаторов и распределительных устройств) с указанием: количества поданных заявок и объема мощности, необходимого для их удовлетворения; количества заключенных договоров на технологическое присоединение, присоединяемого объема мощности, сроков и стоимости по каждому договору отдельно;</w:t>
            </w:r>
            <w:proofErr w:type="gramEnd"/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информации об аннулированных заявках на технологическое присоединение.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EF5" w:rsidRPr="00801EF5" w:rsidRDefault="00801EF5" w:rsidP="00801EF5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801EF5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 2013 году заявок на технологическое присоединение не подавалось.</w:t>
            </w:r>
          </w:p>
        </w:tc>
      </w:tr>
    </w:tbl>
    <w:p w:rsidR="00EE6BE4" w:rsidRDefault="00801EF5"/>
    <w:sectPr w:rsidR="00EE6BE4" w:rsidSect="0025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F5"/>
    <w:rsid w:val="0025462E"/>
    <w:rsid w:val="0054044A"/>
    <w:rsid w:val="00801EF5"/>
    <w:rsid w:val="008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1</cp:revision>
  <dcterms:created xsi:type="dcterms:W3CDTF">2017-06-05T10:44:00Z</dcterms:created>
  <dcterms:modified xsi:type="dcterms:W3CDTF">2017-06-05T10:45:00Z</dcterms:modified>
</cp:coreProperties>
</file>